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47D71" w14:textId="77777777" w:rsidR="00343F26" w:rsidRPr="00343F26" w:rsidRDefault="00343F26" w:rsidP="00343F26">
      <w:pPr>
        <w:shd w:val="clear" w:color="auto" w:fill="F5F5F5"/>
        <w:spacing w:before="225" w:after="120" w:line="240" w:lineRule="auto"/>
        <w:outlineLvl w:val="2"/>
        <w:rPr>
          <w:rFonts w:ascii="Arial" w:eastAsia="Times New Roman" w:hAnsi="Arial" w:cs="Arial"/>
          <w:color w:val="454545"/>
          <w:kern w:val="0"/>
          <w:sz w:val="26"/>
          <w:szCs w:val="26"/>
          <w14:ligatures w14:val="none"/>
        </w:rPr>
      </w:pPr>
      <w:r w:rsidRPr="00343F26">
        <w:rPr>
          <w:rFonts w:ascii="Arial" w:eastAsia="Times New Roman" w:hAnsi="Arial" w:cs="Arial"/>
          <w:color w:val="454545"/>
          <w:kern w:val="0"/>
          <w:sz w:val="26"/>
          <w:szCs w:val="26"/>
          <w14:ligatures w14:val="none"/>
        </w:rPr>
        <w:fldChar w:fldCharType="begin"/>
      </w:r>
      <w:r w:rsidRPr="00343F26">
        <w:rPr>
          <w:rFonts w:ascii="Arial" w:eastAsia="Times New Roman" w:hAnsi="Arial" w:cs="Arial"/>
          <w:color w:val="454545"/>
          <w:kern w:val="0"/>
          <w:sz w:val="26"/>
          <w:szCs w:val="26"/>
          <w14:ligatures w14:val="none"/>
        </w:rPr>
        <w:instrText>HYPERLINK "https://secure.sos.state.or.us/oard/displayDivisionRules.action?selectedDivision=2329"</w:instrText>
      </w:r>
      <w:r w:rsidRPr="00343F26">
        <w:rPr>
          <w:rFonts w:ascii="Arial" w:eastAsia="Times New Roman" w:hAnsi="Arial" w:cs="Arial"/>
          <w:color w:val="454545"/>
          <w:kern w:val="0"/>
          <w:sz w:val="26"/>
          <w:szCs w:val="26"/>
          <w14:ligatures w14:val="none"/>
        </w:rPr>
      </w:r>
      <w:r w:rsidRPr="00343F26">
        <w:rPr>
          <w:rFonts w:ascii="Arial" w:eastAsia="Times New Roman" w:hAnsi="Arial" w:cs="Arial"/>
          <w:color w:val="454545"/>
          <w:kern w:val="0"/>
          <w:sz w:val="26"/>
          <w:szCs w:val="26"/>
          <w14:ligatures w14:val="none"/>
        </w:rPr>
        <w:fldChar w:fldCharType="separate"/>
      </w:r>
      <w:r w:rsidRPr="00343F26">
        <w:rPr>
          <w:rFonts w:ascii="Arial" w:eastAsia="Times New Roman" w:hAnsi="Arial" w:cs="Arial"/>
          <w:color w:val="005592"/>
          <w:kern w:val="0"/>
          <w:sz w:val="26"/>
          <w:szCs w:val="26"/>
          <w:u w:val="single"/>
          <w14:ligatures w14:val="none"/>
        </w:rPr>
        <w:t>Division 220</w:t>
      </w:r>
      <w:r w:rsidRPr="00343F26">
        <w:rPr>
          <w:rFonts w:ascii="Arial" w:eastAsia="Times New Roman" w:hAnsi="Arial" w:cs="Arial"/>
          <w:color w:val="005592"/>
          <w:kern w:val="0"/>
          <w:sz w:val="26"/>
          <w:szCs w:val="26"/>
          <w14:ligatures w14:val="none"/>
        </w:rPr>
        <w:br/>
      </w:r>
      <w:r w:rsidRPr="00343F26">
        <w:rPr>
          <w:rFonts w:ascii="Arial" w:eastAsia="Times New Roman" w:hAnsi="Arial" w:cs="Arial"/>
          <w:color w:val="005592"/>
          <w:kern w:val="0"/>
          <w:sz w:val="26"/>
          <w:szCs w:val="26"/>
          <w:u w:val="single"/>
          <w14:ligatures w14:val="none"/>
        </w:rPr>
        <w:t>MULTI-JURISDICTIONAL SIMULCASTING AND INTERACTIVE WAGERING TOTALIZATOR HUB</w:t>
      </w:r>
      <w:r w:rsidRPr="00343F26">
        <w:rPr>
          <w:rFonts w:ascii="Arial" w:eastAsia="Times New Roman" w:hAnsi="Arial" w:cs="Arial"/>
          <w:color w:val="454545"/>
          <w:kern w:val="0"/>
          <w:sz w:val="26"/>
          <w:szCs w:val="26"/>
          <w14:ligatures w14:val="none"/>
        </w:rPr>
        <w:fldChar w:fldCharType="end"/>
      </w:r>
    </w:p>
    <w:p w14:paraId="033D0C94"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b/>
          <w:bCs/>
          <w:color w:val="333333"/>
          <w:kern w:val="0"/>
          <w:sz w:val="20"/>
          <w:szCs w:val="20"/>
          <w14:ligatures w14:val="none"/>
        </w:rPr>
        <w:t>462-220-0040</w:t>
      </w:r>
      <w:r w:rsidRPr="00343F26">
        <w:rPr>
          <w:rFonts w:ascii="Lato" w:eastAsia="Times New Roman" w:hAnsi="Lato" w:cs="Times New Roman"/>
          <w:color w:val="333333"/>
          <w:kern w:val="0"/>
          <w:sz w:val="20"/>
          <w:szCs w:val="20"/>
          <w14:ligatures w14:val="none"/>
        </w:rPr>
        <w:br/>
      </w:r>
      <w:r w:rsidRPr="00343F26">
        <w:rPr>
          <w:rFonts w:ascii="Lato" w:eastAsia="Times New Roman" w:hAnsi="Lato" w:cs="Times New Roman"/>
          <w:b/>
          <w:bCs/>
          <w:color w:val="333333"/>
          <w:kern w:val="0"/>
          <w:sz w:val="20"/>
          <w:szCs w:val="20"/>
          <w14:ligatures w14:val="none"/>
        </w:rPr>
        <w:t>State of Oregon Share of the Pari-Mutuel Handle</w:t>
      </w:r>
    </w:p>
    <w:p w14:paraId="581849E7" w14:textId="03933706"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In addition to the licensing fee set forth in OAR 462-220-0030(</w:t>
      </w:r>
      <w:r w:rsidRPr="00343F26">
        <w:rPr>
          <w:rFonts w:ascii="Lato" w:eastAsia="Times New Roman" w:hAnsi="Lato" w:cs="Times New Roman"/>
          <w:strike/>
          <w:kern w:val="0"/>
          <w:sz w:val="20"/>
          <w:szCs w:val="20"/>
          <w:u w:val="single"/>
          <w14:ligatures w14:val="none"/>
        </w:rPr>
        <w:t>5</w:t>
      </w:r>
      <w:r w:rsidR="002E718A">
        <w:rPr>
          <w:rFonts w:ascii="Lato" w:eastAsia="Times New Roman" w:hAnsi="Lato" w:cs="Times New Roman"/>
          <w:b/>
          <w:bCs/>
          <w:color w:val="FF0000"/>
          <w:kern w:val="0"/>
          <w:sz w:val="20"/>
          <w:szCs w:val="20"/>
          <w:u w:val="single"/>
          <w14:ligatures w14:val="none"/>
        </w:rPr>
        <w:t>6</w:t>
      </w:r>
      <w:r w:rsidRPr="00343F26">
        <w:rPr>
          <w:rFonts w:ascii="Lato" w:eastAsia="Times New Roman" w:hAnsi="Lato" w:cs="Times New Roman"/>
          <w:color w:val="333333"/>
          <w:kern w:val="0"/>
          <w:sz w:val="20"/>
          <w:szCs w:val="20"/>
          <w14:ligatures w14:val="none"/>
        </w:rPr>
        <w:t xml:space="preserve">), the hub operator shall pay to the Oregon Racing Commission the </w:t>
      </w:r>
      <w:r w:rsidRPr="00343F26">
        <w:rPr>
          <w:rFonts w:ascii="Lato" w:eastAsia="Times New Roman" w:hAnsi="Lato" w:cs="Times New Roman"/>
          <w:b/>
          <w:bCs/>
          <w:strike/>
          <w:color w:val="333333"/>
          <w:kern w:val="0"/>
          <w:sz w:val="20"/>
          <w:szCs w:val="20"/>
          <w:u w:val="single"/>
          <w14:ligatures w14:val="none"/>
        </w:rPr>
        <w:t>tax</w:t>
      </w:r>
      <w:r w:rsidRPr="00343F26">
        <w:rPr>
          <w:rFonts w:ascii="Lato" w:eastAsia="Times New Roman" w:hAnsi="Lato" w:cs="Times New Roman"/>
          <w:color w:val="333333"/>
          <w:kern w:val="0"/>
          <w:sz w:val="20"/>
          <w:szCs w:val="20"/>
          <w14:ligatures w14:val="none"/>
        </w:rPr>
        <w:t xml:space="preserve"> </w:t>
      </w:r>
      <w:r w:rsidR="002E718A" w:rsidRPr="002E718A">
        <w:rPr>
          <w:rFonts w:ascii="Lato" w:eastAsia="Times New Roman" w:hAnsi="Lato" w:cs="Times New Roman"/>
          <w:b/>
          <w:bCs/>
          <w:color w:val="FF0000"/>
          <w:kern w:val="0"/>
          <w:sz w:val="20"/>
          <w:szCs w:val="20"/>
          <w:u w:val="single"/>
          <w14:ligatures w14:val="none"/>
        </w:rPr>
        <w:t>payments</w:t>
      </w:r>
      <w:r w:rsidR="002E718A" w:rsidRPr="002E718A">
        <w:rPr>
          <w:rFonts w:ascii="Lato" w:eastAsia="Times New Roman" w:hAnsi="Lato" w:cs="Times New Roman"/>
          <w:color w:val="333333"/>
          <w:kern w:val="0"/>
          <w:sz w:val="20"/>
          <w:szCs w:val="20"/>
          <w14:ligatures w14:val="none"/>
        </w:rPr>
        <w:t xml:space="preserve"> </w:t>
      </w:r>
      <w:r w:rsidRPr="00343F26">
        <w:rPr>
          <w:rFonts w:ascii="Lato" w:eastAsia="Times New Roman" w:hAnsi="Lato" w:cs="Times New Roman"/>
          <w:color w:val="333333"/>
          <w:kern w:val="0"/>
          <w:sz w:val="20"/>
          <w:szCs w:val="20"/>
          <w14:ligatures w14:val="none"/>
        </w:rPr>
        <w:t>authorized by ORS 462.725</w:t>
      </w:r>
      <w:r w:rsidRPr="00343F26">
        <w:rPr>
          <w:rFonts w:ascii="Lato" w:eastAsia="Times New Roman" w:hAnsi="Lato" w:cs="Times New Roman"/>
          <w:b/>
          <w:bCs/>
          <w:strike/>
          <w:color w:val="333333"/>
          <w:kern w:val="0"/>
          <w:sz w:val="20"/>
          <w:szCs w:val="20"/>
          <w:u w:val="single"/>
          <w14:ligatures w14:val="none"/>
        </w:rPr>
        <w:t>(3)</w:t>
      </w:r>
      <w:r w:rsidR="002E718A" w:rsidRPr="002E718A">
        <w:rPr>
          <w:rFonts w:ascii="Lato" w:eastAsia="Times New Roman" w:hAnsi="Lato" w:cs="Times New Roman"/>
          <w:b/>
          <w:bCs/>
          <w:color w:val="FF0000"/>
          <w:kern w:val="0"/>
          <w:sz w:val="20"/>
          <w:szCs w:val="20"/>
          <w:u w:val="single"/>
          <w14:ligatures w14:val="none"/>
        </w:rPr>
        <w:t>(4)</w:t>
      </w:r>
      <w:r w:rsidRPr="00343F26">
        <w:rPr>
          <w:rFonts w:ascii="Lato" w:eastAsia="Times New Roman" w:hAnsi="Lato" w:cs="Times New Roman"/>
          <w:kern w:val="0"/>
          <w:sz w:val="20"/>
          <w:szCs w:val="20"/>
          <w:u w:val="single"/>
          <w14:ligatures w14:val="none"/>
        </w:rPr>
        <w:t>(</w:t>
      </w:r>
      <w:r w:rsidRPr="00343F26">
        <w:rPr>
          <w:rFonts w:ascii="Lato" w:eastAsia="Times New Roman" w:hAnsi="Lato" w:cs="Times New Roman"/>
          <w:color w:val="333333"/>
          <w:kern w:val="0"/>
          <w:sz w:val="20"/>
          <w:szCs w:val="20"/>
          <w14:ligatures w14:val="none"/>
        </w:rPr>
        <w:t>b) on all gross mutuel wagering receipts recorded by the hub's totalizator system during the license period. The payments shall be made as follows:</w:t>
      </w:r>
    </w:p>
    <w:p w14:paraId="36D80F58"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(1) Payments shall be made each month based on the gross mutuel wagering receipts for that month.</w:t>
      </w:r>
    </w:p>
    <w:p w14:paraId="19D16715"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(2) Payments shall be made in a timely manner as prescribed by the executive director of the commission.</w:t>
      </w:r>
    </w:p>
    <w:p w14:paraId="116C4861"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(3) Payments shall be calculated according to one of the following formulas as elected by the hub operator in the manner specified in section (6):</w:t>
      </w:r>
    </w:p>
    <w:p w14:paraId="02216A1D"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(a) Payment of 0.125% of the first 60 million dollars in gross mutuel wagering receipts during the license period and 0.25% of the gross mutuel wagering receipts in excess of 60 million dollars during that period; or</w:t>
      </w:r>
    </w:p>
    <w:p w14:paraId="56F088D7" w14:textId="41B28A51"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(b) Payment of 0.25% of gross mutuel wagering receipts, except that, if the hub operator conducts business in a state where hubs are specifically authorized and the tax rate is less than 0.25%, the tax rate for wagers by the residents of such state would be that of the state in which they reside. This exception is limited to a single state designated by the hub operator in the manner specified in section (</w:t>
      </w:r>
      <w:r w:rsidR="002E718A" w:rsidRPr="002E718A">
        <w:rPr>
          <w:rFonts w:ascii="Lato" w:eastAsia="Times New Roman" w:hAnsi="Lato" w:cs="Times New Roman"/>
          <w:b/>
          <w:bCs/>
          <w:color w:val="FF0000"/>
          <w:kern w:val="0"/>
          <w:sz w:val="20"/>
          <w:szCs w:val="20"/>
          <w:u w:val="single"/>
          <w14:ligatures w14:val="none"/>
        </w:rPr>
        <w:t>7</w:t>
      </w:r>
      <w:r w:rsidRPr="00343F26">
        <w:rPr>
          <w:rFonts w:ascii="Lato" w:eastAsia="Times New Roman" w:hAnsi="Lato" w:cs="Times New Roman"/>
          <w:b/>
          <w:bCs/>
          <w:strike/>
          <w:color w:val="333333"/>
          <w:kern w:val="0"/>
          <w:sz w:val="20"/>
          <w:szCs w:val="20"/>
          <w:u w:val="single"/>
          <w14:ligatures w14:val="none"/>
        </w:rPr>
        <w:t>5</w:t>
      </w:r>
      <w:r w:rsidRPr="00343F26">
        <w:rPr>
          <w:rFonts w:ascii="Lato" w:eastAsia="Times New Roman" w:hAnsi="Lato" w:cs="Times New Roman"/>
          <w:color w:val="333333"/>
          <w:kern w:val="0"/>
          <w:sz w:val="20"/>
          <w:szCs w:val="20"/>
          <w14:ligatures w14:val="none"/>
        </w:rPr>
        <w:t>).</w:t>
      </w:r>
    </w:p>
    <w:p w14:paraId="64BE83B0"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(4) Advanced deposit wagering handle from past live racing products will be calculated separately from all other gross mutual wagering receipts recorded by the hub’s totalizator system. These product wagering receipts will, however, follow the same payment structure as all other gross wagering receipts including the maximum payment set out in section (6).</w:t>
      </w:r>
    </w:p>
    <w:p w14:paraId="7BCED0C6" w14:textId="4618B072"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(5) </w:t>
      </w:r>
      <w:r w:rsidRPr="00343F26">
        <w:rPr>
          <w:rFonts w:ascii="Lato" w:eastAsia="Times New Roman" w:hAnsi="Lato" w:cs="Times New Roman"/>
          <w:b/>
          <w:bCs/>
          <w:strike/>
          <w:color w:val="333333"/>
          <w:kern w:val="0"/>
          <w:sz w:val="20"/>
          <w:szCs w:val="20"/>
          <w:u w:val="single"/>
          <w14:ligatures w14:val="none"/>
        </w:rPr>
        <w:t>All</w:t>
      </w:r>
      <w:r w:rsidRPr="00343F26">
        <w:rPr>
          <w:rFonts w:ascii="Lato" w:eastAsia="Times New Roman" w:hAnsi="Lato" w:cs="Times New Roman"/>
          <w:color w:val="333333"/>
          <w:kern w:val="0"/>
          <w:sz w:val="20"/>
          <w:szCs w:val="20"/>
          <w14:ligatures w14:val="none"/>
        </w:rPr>
        <w:t xml:space="preserve"> </w:t>
      </w:r>
      <w:r w:rsidR="00335DCF" w:rsidRPr="00335DCF">
        <w:rPr>
          <w:rFonts w:ascii="Lato" w:eastAsia="Times New Roman" w:hAnsi="Lato" w:cs="Times New Roman"/>
          <w:b/>
          <w:bCs/>
          <w:color w:val="FF0000"/>
          <w:kern w:val="0"/>
          <w:sz w:val="20"/>
          <w:szCs w:val="20"/>
          <w:u w:val="single"/>
          <w14:ligatures w14:val="none"/>
        </w:rPr>
        <w:t>Each</w:t>
      </w:r>
      <w:r w:rsidR="00335DCF">
        <w:rPr>
          <w:rFonts w:ascii="Lato" w:eastAsia="Times New Roman" w:hAnsi="Lato" w:cs="Times New Roman"/>
          <w:color w:val="333333"/>
          <w:kern w:val="0"/>
          <w:sz w:val="20"/>
          <w:szCs w:val="20"/>
          <w14:ligatures w14:val="none"/>
        </w:rPr>
        <w:t xml:space="preserve"> </w:t>
      </w:r>
      <w:proofErr w:type="gramStart"/>
      <w:r w:rsidRPr="00343F26">
        <w:rPr>
          <w:rFonts w:ascii="Lato" w:eastAsia="Times New Roman" w:hAnsi="Lato" w:cs="Times New Roman"/>
          <w:color w:val="333333"/>
          <w:kern w:val="0"/>
          <w:sz w:val="20"/>
          <w:szCs w:val="20"/>
          <w14:ligatures w14:val="none"/>
        </w:rPr>
        <w:t>affiliate</w:t>
      </w:r>
      <w:r w:rsidRPr="00343F26">
        <w:rPr>
          <w:rFonts w:ascii="Lato" w:eastAsia="Times New Roman" w:hAnsi="Lato" w:cs="Times New Roman"/>
          <w:b/>
          <w:bCs/>
          <w:strike/>
          <w:kern w:val="0"/>
          <w:sz w:val="20"/>
          <w:szCs w:val="20"/>
          <w14:ligatures w14:val="none"/>
        </w:rPr>
        <w:t>s</w:t>
      </w:r>
      <w:proofErr w:type="gramEnd"/>
      <w:r w:rsidRPr="00343F26">
        <w:rPr>
          <w:rFonts w:ascii="Lato" w:eastAsia="Times New Roman" w:hAnsi="Lato" w:cs="Times New Roman"/>
          <w:color w:val="333333"/>
          <w:kern w:val="0"/>
          <w:sz w:val="20"/>
          <w:szCs w:val="20"/>
          <w14:ligatures w14:val="none"/>
        </w:rPr>
        <w:t xml:space="preserve"> of a licensed multi-jurisdictional hub will follow the same payment structure as the licensed multi-jurisdictional hub including the maximum payment set out in section 6</w:t>
      </w:r>
      <w:r w:rsidR="00335DCF" w:rsidRPr="00335DCF">
        <w:rPr>
          <w:rFonts w:ascii="Lato" w:eastAsia="Times New Roman" w:hAnsi="Lato" w:cs="Times New Roman"/>
          <w:b/>
          <w:bCs/>
          <w:color w:val="FF0000"/>
          <w:kern w:val="0"/>
          <w:sz w:val="20"/>
          <w:szCs w:val="20"/>
          <w:u w:val="single"/>
          <w14:ligatures w14:val="none"/>
        </w:rPr>
        <w:t>.</w:t>
      </w:r>
      <w:r w:rsidRPr="00343F26">
        <w:rPr>
          <w:rFonts w:ascii="Lato" w:eastAsia="Times New Roman" w:hAnsi="Lato" w:cs="Times New Roman"/>
          <w:b/>
          <w:bCs/>
          <w:color w:val="FF0000"/>
          <w:kern w:val="0"/>
          <w:sz w:val="20"/>
          <w:szCs w:val="20"/>
          <w14:ligatures w14:val="none"/>
        </w:rPr>
        <w:t xml:space="preserve"> </w:t>
      </w:r>
      <w:r w:rsidR="00335DCF" w:rsidRPr="00335DCF">
        <w:rPr>
          <w:rFonts w:ascii="Lato" w:eastAsia="Times New Roman" w:hAnsi="Lato" w:cs="Times New Roman"/>
          <w:b/>
          <w:bCs/>
          <w:color w:val="FF0000"/>
          <w:kern w:val="0"/>
          <w:sz w:val="20"/>
          <w:szCs w:val="20"/>
          <w14:ligatures w14:val="none"/>
        </w:rPr>
        <w:t xml:space="preserve"> </w:t>
      </w:r>
      <w:r w:rsidR="00335DCF">
        <w:rPr>
          <w:rFonts w:ascii="Lato" w:eastAsia="Times New Roman" w:hAnsi="Lato" w:cs="Times New Roman"/>
          <w:b/>
          <w:bCs/>
          <w:color w:val="FF0000"/>
          <w:kern w:val="0"/>
          <w:sz w:val="20"/>
          <w:szCs w:val="20"/>
          <w:u w:val="single"/>
          <w14:ligatures w14:val="none"/>
        </w:rPr>
        <w:t>Th</w:t>
      </w:r>
      <w:r w:rsidR="00383FD9">
        <w:rPr>
          <w:rFonts w:ascii="Lato" w:eastAsia="Times New Roman" w:hAnsi="Lato" w:cs="Times New Roman"/>
          <w:b/>
          <w:bCs/>
          <w:color w:val="FF0000"/>
          <w:kern w:val="0"/>
          <w:sz w:val="20"/>
          <w:szCs w:val="20"/>
          <w:u w:val="single"/>
          <w14:ligatures w14:val="none"/>
        </w:rPr>
        <w:t>e</w:t>
      </w:r>
      <w:r w:rsidR="00335DCF">
        <w:rPr>
          <w:rFonts w:ascii="Lato" w:eastAsia="Times New Roman" w:hAnsi="Lato" w:cs="Times New Roman"/>
          <w:b/>
          <w:bCs/>
          <w:color w:val="FF0000"/>
          <w:kern w:val="0"/>
          <w:sz w:val="20"/>
          <w:szCs w:val="20"/>
          <w:u w:val="single"/>
          <w14:ligatures w14:val="none"/>
        </w:rPr>
        <w:t xml:space="preserve"> additional </w:t>
      </w:r>
      <w:r w:rsidR="002E718A">
        <w:rPr>
          <w:rFonts w:ascii="Lato" w:eastAsia="Times New Roman" w:hAnsi="Lato" w:cs="Times New Roman"/>
          <w:b/>
          <w:bCs/>
          <w:color w:val="FF0000"/>
          <w:kern w:val="0"/>
          <w:sz w:val="20"/>
          <w:szCs w:val="20"/>
          <w:u w:val="single"/>
          <w14:ligatures w14:val="none"/>
        </w:rPr>
        <w:t>payments</w:t>
      </w:r>
      <w:r w:rsidR="00383FD9">
        <w:rPr>
          <w:rFonts w:ascii="Lato" w:eastAsia="Times New Roman" w:hAnsi="Lato" w:cs="Times New Roman"/>
          <w:b/>
          <w:bCs/>
          <w:color w:val="FF0000"/>
          <w:kern w:val="0"/>
          <w:sz w:val="20"/>
          <w:szCs w:val="20"/>
          <w:u w:val="single"/>
          <w14:ligatures w14:val="none"/>
        </w:rPr>
        <w:t>, as outlined in (3),</w:t>
      </w:r>
      <w:r w:rsidR="00335DCF">
        <w:rPr>
          <w:rFonts w:ascii="Lato" w:eastAsia="Times New Roman" w:hAnsi="Lato" w:cs="Times New Roman"/>
          <w:b/>
          <w:bCs/>
          <w:color w:val="FF0000"/>
          <w:kern w:val="0"/>
          <w:sz w:val="20"/>
          <w:szCs w:val="20"/>
          <w:u w:val="single"/>
          <w14:ligatures w14:val="none"/>
        </w:rPr>
        <w:t xml:space="preserve"> will occur </w:t>
      </w:r>
      <w:r w:rsidRPr="00343F26">
        <w:rPr>
          <w:rFonts w:ascii="Lato" w:eastAsia="Times New Roman" w:hAnsi="Lato" w:cs="Times New Roman"/>
          <w:kern w:val="0"/>
          <w:sz w:val="20"/>
          <w:szCs w:val="20"/>
          <w14:ligatures w14:val="none"/>
        </w:rPr>
        <w:t>a</w:t>
      </w:r>
      <w:r w:rsidRPr="00343F26">
        <w:rPr>
          <w:rFonts w:ascii="Lato" w:eastAsia="Times New Roman" w:hAnsi="Lato" w:cs="Times New Roman"/>
          <w:color w:val="333333"/>
          <w:kern w:val="0"/>
          <w:sz w:val="20"/>
          <w:szCs w:val="20"/>
          <w14:ligatures w14:val="none"/>
        </w:rPr>
        <w:t>fter the affiliate’s first $20,000,000.00 in handle</w:t>
      </w:r>
      <w:r w:rsidR="00335DCF" w:rsidRPr="00335DCF">
        <w:rPr>
          <w:rFonts w:ascii="Lato" w:eastAsia="Times New Roman" w:hAnsi="Lato" w:cs="Times New Roman"/>
          <w:color w:val="FF0000"/>
          <w:kern w:val="0"/>
          <w:sz w:val="20"/>
          <w:szCs w:val="20"/>
          <w14:ligatures w14:val="none"/>
        </w:rPr>
        <w:t xml:space="preserve">, </w:t>
      </w:r>
      <w:r w:rsidR="00335DCF" w:rsidRPr="00335DCF">
        <w:rPr>
          <w:rFonts w:ascii="Lato" w:eastAsia="Times New Roman" w:hAnsi="Lato" w:cs="Times New Roman"/>
          <w:color w:val="FF0000"/>
          <w:kern w:val="0"/>
          <w:sz w:val="20"/>
          <w:szCs w:val="20"/>
          <w:u w:val="single"/>
          <w14:ligatures w14:val="none"/>
        </w:rPr>
        <w:t>o</w:t>
      </w:r>
      <w:r w:rsidR="00335DCF" w:rsidRPr="00335DCF">
        <w:rPr>
          <w:rFonts w:ascii="Lato" w:eastAsia="Times New Roman" w:hAnsi="Lato" w:cs="Times New Roman"/>
          <w:b/>
          <w:bCs/>
          <w:color w:val="FF0000"/>
          <w:kern w:val="0"/>
          <w:sz w:val="20"/>
          <w:szCs w:val="20"/>
          <w:u w:val="single"/>
          <w14:ligatures w14:val="none"/>
        </w:rPr>
        <w:t>r</w:t>
      </w:r>
      <w:r w:rsidR="00335DCF">
        <w:rPr>
          <w:rFonts w:ascii="Lato" w:eastAsia="Times New Roman" w:hAnsi="Lato" w:cs="Times New Roman"/>
          <w:b/>
          <w:bCs/>
          <w:color w:val="FF0000"/>
          <w:kern w:val="0"/>
          <w:sz w:val="20"/>
          <w:szCs w:val="20"/>
          <w:u w:val="single"/>
          <w14:ligatures w14:val="none"/>
        </w:rPr>
        <w:t>,</w:t>
      </w:r>
      <w:r w:rsidR="00335DCF" w:rsidRPr="00335DCF">
        <w:rPr>
          <w:rFonts w:ascii="Lato" w:eastAsia="Times New Roman" w:hAnsi="Lato" w:cs="Times New Roman"/>
          <w:b/>
          <w:bCs/>
          <w:color w:val="FF0000"/>
          <w:kern w:val="0"/>
          <w:sz w:val="20"/>
          <w:szCs w:val="20"/>
          <w:u w:val="single"/>
          <w14:ligatures w14:val="none"/>
        </w:rPr>
        <w:t xml:space="preserve"> after the licensee has reached their </w:t>
      </w:r>
      <w:r w:rsidR="00335DCF">
        <w:rPr>
          <w:rFonts w:ascii="Lato" w:eastAsia="Times New Roman" w:hAnsi="Lato" w:cs="Times New Roman"/>
          <w:b/>
          <w:bCs/>
          <w:color w:val="FF0000"/>
          <w:kern w:val="0"/>
          <w:sz w:val="20"/>
          <w:szCs w:val="20"/>
          <w:u w:val="single"/>
          <w14:ligatures w14:val="none"/>
        </w:rPr>
        <w:t>maximum payment</w:t>
      </w:r>
      <w:r w:rsidR="00335DCF" w:rsidRPr="00335DCF">
        <w:rPr>
          <w:rFonts w:ascii="Lato" w:eastAsia="Times New Roman" w:hAnsi="Lato" w:cs="Times New Roman"/>
          <w:b/>
          <w:bCs/>
          <w:color w:val="FF0000"/>
          <w:kern w:val="0"/>
          <w:sz w:val="20"/>
          <w:szCs w:val="20"/>
          <w:u w:val="single"/>
          <w14:ligatures w14:val="none"/>
        </w:rPr>
        <w:t>, whichever occurs last</w:t>
      </w:r>
      <w:r w:rsidRPr="00343F26">
        <w:rPr>
          <w:rFonts w:ascii="Lato" w:eastAsia="Times New Roman" w:hAnsi="Lato" w:cs="Times New Roman"/>
          <w:color w:val="FF0000"/>
          <w:kern w:val="0"/>
          <w:sz w:val="20"/>
          <w:szCs w:val="20"/>
          <w14:ligatures w14:val="none"/>
        </w:rPr>
        <w:t xml:space="preserve">. </w:t>
      </w:r>
      <w:r w:rsidRPr="00343F26">
        <w:rPr>
          <w:rFonts w:ascii="Lato" w:eastAsia="Times New Roman" w:hAnsi="Lato" w:cs="Times New Roman"/>
          <w:color w:val="333333"/>
          <w:kern w:val="0"/>
          <w:sz w:val="20"/>
          <w:szCs w:val="20"/>
          <w14:ligatures w14:val="none"/>
        </w:rPr>
        <w:t>The first $20,000,000.00 of the affiliate's handle</w:t>
      </w:r>
      <w:r w:rsidR="00335DCF">
        <w:rPr>
          <w:rFonts w:ascii="Lato" w:eastAsia="Times New Roman" w:hAnsi="Lato" w:cs="Times New Roman"/>
          <w:color w:val="333333"/>
          <w:kern w:val="0"/>
          <w:sz w:val="20"/>
          <w:szCs w:val="20"/>
          <w14:ligatures w14:val="none"/>
        </w:rPr>
        <w:t xml:space="preserve"> </w:t>
      </w:r>
      <w:r w:rsidR="00335DCF">
        <w:rPr>
          <w:rFonts w:ascii="Lato" w:eastAsia="Times New Roman" w:hAnsi="Lato" w:cs="Times New Roman"/>
          <w:b/>
          <w:bCs/>
          <w:color w:val="FF0000"/>
          <w:kern w:val="0"/>
          <w:sz w:val="20"/>
          <w:szCs w:val="20"/>
          <w:u w:val="single"/>
          <w14:ligatures w14:val="none"/>
        </w:rPr>
        <w:t>and any additional handle if the licensee has not yet reached their maximum payment</w:t>
      </w:r>
      <w:r w:rsidRPr="00343F26">
        <w:rPr>
          <w:rFonts w:ascii="Lato" w:eastAsia="Times New Roman" w:hAnsi="Lato" w:cs="Times New Roman"/>
          <w:color w:val="333333"/>
          <w:kern w:val="0"/>
          <w:sz w:val="20"/>
          <w:szCs w:val="20"/>
          <w14:ligatures w14:val="none"/>
        </w:rPr>
        <w:t xml:space="preserve"> is exempt from separate fee payments</w:t>
      </w:r>
      <w:r w:rsidR="00383FD9">
        <w:rPr>
          <w:rFonts w:ascii="Lato" w:eastAsia="Times New Roman" w:hAnsi="Lato" w:cs="Times New Roman"/>
          <w:color w:val="333333"/>
          <w:kern w:val="0"/>
          <w:sz w:val="20"/>
          <w:szCs w:val="20"/>
          <w14:ligatures w14:val="none"/>
        </w:rPr>
        <w:t>.</w:t>
      </w:r>
      <w:r w:rsidRPr="00343F26">
        <w:rPr>
          <w:rFonts w:ascii="Lato" w:eastAsia="Times New Roman" w:hAnsi="Lato" w:cs="Times New Roman"/>
          <w:color w:val="333333"/>
          <w:kern w:val="0"/>
          <w:sz w:val="20"/>
          <w:szCs w:val="20"/>
          <w14:ligatures w14:val="none"/>
        </w:rPr>
        <w:t xml:space="preserve"> </w:t>
      </w:r>
      <w:r w:rsidRPr="00343F26">
        <w:rPr>
          <w:rFonts w:ascii="Lato" w:eastAsia="Times New Roman" w:hAnsi="Lato" w:cs="Times New Roman"/>
          <w:b/>
          <w:bCs/>
          <w:strike/>
          <w:color w:val="333333"/>
          <w:kern w:val="0"/>
          <w:sz w:val="20"/>
          <w:szCs w:val="20"/>
          <w:u w:val="single"/>
          <w14:ligatures w14:val="none"/>
        </w:rPr>
        <w:t>but</w:t>
      </w:r>
      <w:r w:rsidRPr="00343F26">
        <w:rPr>
          <w:rFonts w:ascii="Lato" w:eastAsia="Times New Roman" w:hAnsi="Lato" w:cs="Times New Roman"/>
          <w:b/>
          <w:bCs/>
          <w:color w:val="333333"/>
          <w:kern w:val="0"/>
          <w:sz w:val="20"/>
          <w:szCs w:val="20"/>
          <w14:ligatures w14:val="none"/>
        </w:rPr>
        <w:t xml:space="preserve"> </w:t>
      </w:r>
      <w:proofErr w:type="spellStart"/>
      <w:r w:rsidR="00383FD9" w:rsidRPr="00383FD9">
        <w:rPr>
          <w:rFonts w:ascii="Lato" w:eastAsia="Times New Roman" w:hAnsi="Lato" w:cs="Times New Roman"/>
          <w:b/>
          <w:bCs/>
          <w:color w:val="FF0000"/>
          <w:kern w:val="0"/>
          <w:sz w:val="20"/>
          <w:szCs w:val="20"/>
          <w:u w:val="single"/>
          <w14:ligatures w14:val="none"/>
        </w:rPr>
        <w:t>T</w:t>
      </w:r>
      <w:r w:rsidRPr="00343F26">
        <w:rPr>
          <w:rFonts w:ascii="Lato" w:eastAsia="Times New Roman" w:hAnsi="Lato" w:cs="Times New Roman"/>
          <w:strike/>
          <w:color w:val="333333"/>
          <w:kern w:val="0"/>
          <w:sz w:val="20"/>
          <w:szCs w:val="20"/>
          <w14:ligatures w14:val="none"/>
        </w:rPr>
        <w:t>t</w:t>
      </w:r>
      <w:r w:rsidRPr="00343F26">
        <w:rPr>
          <w:rFonts w:ascii="Lato" w:eastAsia="Times New Roman" w:hAnsi="Lato" w:cs="Times New Roman"/>
          <w:color w:val="333333"/>
          <w:kern w:val="0"/>
          <w:sz w:val="20"/>
          <w:szCs w:val="20"/>
          <w14:ligatures w14:val="none"/>
        </w:rPr>
        <w:t>he</w:t>
      </w:r>
      <w:proofErr w:type="spellEnd"/>
      <w:r w:rsidRPr="00343F26">
        <w:rPr>
          <w:rFonts w:ascii="Lato" w:eastAsia="Times New Roman" w:hAnsi="Lato" w:cs="Times New Roman"/>
          <w:color w:val="333333"/>
          <w:kern w:val="0"/>
          <w:sz w:val="20"/>
          <w:szCs w:val="20"/>
          <w14:ligatures w14:val="none"/>
        </w:rPr>
        <w:t xml:space="preserve"> first $20,000,000.00 will nevertheless apply toward the licensee’s maximum payment.</w:t>
      </w:r>
    </w:p>
    <w:p w14:paraId="482C33F7" w14:textId="5859F9FA"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 xml:space="preserve">(6) The base </w:t>
      </w:r>
      <w:r w:rsidRPr="00343F26">
        <w:rPr>
          <w:rFonts w:ascii="Lato" w:eastAsia="Times New Roman" w:hAnsi="Lato" w:cs="Times New Roman"/>
          <w:b/>
          <w:bCs/>
          <w:strike/>
          <w:color w:val="333333"/>
          <w:kern w:val="0"/>
          <w:sz w:val="20"/>
          <w:szCs w:val="20"/>
          <w14:ligatures w14:val="none"/>
        </w:rPr>
        <w:t>tax</w:t>
      </w:r>
      <w:r w:rsidR="00334EEF" w:rsidRPr="00334EEF">
        <w:rPr>
          <w:rFonts w:ascii="Lato" w:eastAsia="Times New Roman" w:hAnsi="Lato" w:cs="Times New Roman"/>
          <w:b/>
          <w:bCs/>
          <w:strike/>
          <w:color w:val="333333"/>
          <w:kern w:val="0"/>
          <w:sz w:val="20"/>
          <w:szCs w:val="20"/>
          <w14:ligatures w14:val="none"/>
        </w:rPr>
        <w:t xml:space="preserve"> </w:t>
      </w:r>
      <w:r w:rsidR="002E718A">
        <w:rPr>
          <w:rFonts w:ascii="Lato" w:eastAsia="Times New Roman" w:hAnsi="Lato" w:cs="Times New Roman"/>
          <w:b/>
          <w:bCs/>
          <w:color w:val="FF0000"/>
          <w:kern w:val="0"/>
          <w:sz w:val="20"/>
          <w:szCs w:val="20"/>
          <w:u w:val="single"/>
          <w14:ligatures w14:val="none"/>
        </w:rPr>
        <w:t>payments</w:t>
      </w:r>
      <w:r w:rsidRPr="00343F26">
        <w:rPr>
          <w:rFonts w:ascii="Lato" w:eastAsia="Times New Roman" w:hAnsi="Lato" w:cs="Times New Roman"/>
          <w:b/>
          <w:bCs/>
          <w:color w:val="FF0000"/>
          <w:kern w:val="0"/>
          <w:sz w:val="20"/>
          <w:szCs w:val="20"/>
          <w:u w:val="single"/>
          <w14:ligatures w14:val="none"/>
        </w:rPr>
        <w:t xml:space="preserve"> </w:t>
      </w:r>
      <w:r w:rsidRPr="00343F26">
        <w:rPr>
          <w:rFonts w:ascii="Lato" w:eastAsia="Times New Roman" w:hAnsi="Lato" w:cs="Times New Roman"/>
          <w:b/>
          <w:bCs/>
          <w:strike/>
          <w:color w:val="333333"/>
          <w:kern w:val="0"/>
          <w:sz w:val="20"/>
          <w:szCs w:val="20"/>
          <w:u w:val="single"/>
          <w14:ligatures w14:val="none"/>
        </w:rPr>
        <w:t>for fiscal year 2022-2023 is $778,192.00</w:t>
      </w:r>
      <w:r w:rsidRPr="00343F26">
        <w:rPr>
          <w:rFonts w:ascii="Lato" w:eastAsia="Times New Roman" w:hAnsi="Lato" w:cs="Times New Roman"/>
          <w:color w:val="333333"/>
          <w:kern w:val="0"/>
          <w:sz w:val="20"/>
          <w:szCs w:val="20"/>
          <w14:ligatures w14:val="none"/>
        </w:rPr>
        <w:t xml:space="preserve">. The maximum payment set out in section (6) will increase 2.5% on an annual basis for each fiscal year through 2029-2030 unless the commission changes that limit before the beginning of a fiscal year. Maximum payments through </w:t>
      </w:r>
      <w:proofErr w:type="gramStart"/>
      <w:r w:rsidRPr="00343F26">
        <w:rPr>
          <w:rFonts w:ascii="Lato" w:eastAsia="Times New Roman" w:hAnsi="Lato" w:cs="Times New Roman"/>
          <w:color w:val="333333"/>
          <w:kern w:val="0"/>
          <w:sz w:val="20"/>
          <w:szCs w:val="20"/>
          <w14:ligatures w14:val="none"/>
        </w:rPr>
        <w:t>fiscal</w:t>
      </w:r>
      <w:proofErr w:type="gramEnd"/>
      <w:r w:rsidRPr="00343F26">
        <w:rPr>
          <w:rFonts w:ascii="Lato" w:eastAsia="Times New Roman" w:hAnsi="Lato" w:cs="Times New Roman"/>
          <w:color w:val="333333"/>
          <w:kern w:val="0"/>
          <w:sz w:val="20"/>
          <w:szCs w:val="20"/>
          <w14:ligatures w14:val="none"/>
        </w:rPr>
        <w:t xml:space="preserve"> year 2029-2030 are calculated below.</w:t>
      </w:r>
    </w:p>
    <w:p w14:paraId="62D26445" w14:textId="174BDAF4" w:rsidR="00343F26" w:rsidRPr="00343F26" w:rsidRDefault="00343F26" w:rsidP="00343F26">
      <w:pPr>
        <w:shd w:val="clear" w:color="auto" w:fill="F5F5F5"/>
        <w:spacing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 xml:space="preserve">Fiscal Year — </w:t>
      </w:r>
      <w:r w:rsidRPr="00343F26">
        <w:rPr>
          <w:rFonts w:ascii="Lato" w:eastAsia="Times New Roman" w:hAnsi="Lato" w:cs="Times New Roman"/>
          <w:b/>
          <w:bCs/>
          <w:strike/>
          <w:color w:val="333333"/>
          <w:kern w:val="0"/>
          <w:sz w:val="20"/>
          <w:szCs w:val="20"/>
          <w:u w:val="single"/>
          <w14:ligatures w14:val="none"/>
        </w:rPr>
        <w:t>Tax</w:t>
      </w:r>
      <w:r w:rsidRPr="00343F26">
        <w:rPr>
          <w:rFonts w:ascii="Lato" w:eastAsia="Times New Roman" w:hAnsi="Lato" w:cs="Times New Roman"/>
          <w:color w:val="333333"/>
          <w:kern w:val="0"/>
          <w:sz w:val="20"/>
          <w:szCs w:val="20"/>
          <w14:ligatures w14:val="none"/>
        </w:rPr>
        <w:t xml:space="preserve"> </w:t>
      </w:r>
      <w:r w:rsidR="002E718A" w:rsidRPr="002E718A">
        <w:rPr>
          <w:rFonts w:ascii="Lato" w:eastAsia="Times New Roman" w:hAnsi="Lato" w:cs="Times New Roman"/>
          <w:color w:val="FF0000"/>
          <w:kern w:val="0"/>
          <w:sz w:val="20"/>
          <w:szCs w:val="20"/>
          <w:u w:val="single"/>
          <w14:ligatures w14:val="none"/>
        </w:rPr>
        <w:t>Payment</w:t>
      </w:r>
      <w:r w:rsidR="002E718A">
        <w:rPr>
          <w:rFonts w:ascii="Lato" w:eastAsia="Times New Roman" w:hAnsi="Lato" w:cs="Times New Roman"/>
          <w:color w:val="333333"/>
          <w:kern w:val="0"/>
          <w:sz w:val="20"/>
          <w:szCs w:val="20"/>
          <w14:ligatures w14:val="none"/>
        </w:rPr>
        <w:t xml:space="preserve"> </w:t>
      </w:r>
      <w:r w:rsidRPr="00343F26">
        <w:rPr>
          <w:rFonts w:ascii="Lato" w:eastAsia="Times New Roman" w:hAnsi="Lato" w:cs="Times New Roman"/>
          <w:color w:val="333333"/>
          <w:kern w:val="0"/>
          <w:sz w:val="20"/>
          <w:szCs w:val="20"/>
          <w14:ligatures w14:val="none"/>
        </w:rPr>
        <w:t>Amount:</w:t>
      </w:r>
    </w:p>
    <w:p w14:paraId="3C5D873B"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b/>
          <w:bCs/>
          <w:strike/>
          <w:color w:val="333333"/>
          <w:kern w:val="0"/>
          <w:sz w:val="20"/>
          <w:szCs w:val="20"/>
          <w:u w:val="single"/>
          <w14:ligatures w14:val="none"/>
        </w:rPr>
      </w:pPr>
      <w:r w:rsidRPr="00343F26">
        <w:rPr>
          <w:rFonts w:ascii="Lato" w:eastAsia="Times New Roman" w:hAnsi="Lato" w:cs="Times New Roman"/>
          <w:b/>
          <w:bCs/>
          <w:strike/>
          <w:color w:val="333333"/>
          <w:kern w:val="0"/>
          <w:sz w:val="20"/>
          <w:szCs w:val="20"/>
          <w:u w:val="single"/>
          <w14:ligatures w14:val="none"/>
        </w:rPr>
        <w:t>2022–23 — $778,192.00</w:t>
      </w:r>
    </w:p>
    <w:p w14:paraId="6B19A5F1"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lastRenderedPageBreak/>
        <w:t>2023–24 — $797,647.00</w:t>
      </w:r>
    </w:p>
    <w:p w14:paraId="520001A4"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2024–25 — $817,588.18</w:t>
      </w:r>
    </w:p>
    <w:p w14:paraId="654BCA6A"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2025-26    - $838,027.88</w:t>
      </w:r>
    </w:p>
    <w:p w14:paraId="27A13C8B"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2026-27 -    $858,978.58</w:t>
      </w:r>
    </w:p>
    <w:p w14:paraId="6F9C79E2"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2027-28 - $880,453.04</w:t>
      </w:r>
    </w:p>
    <w:p w14:paraId="60FCC7B0"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2028-29 - $902,464.37</w:t>
      </w:r>
    </w:p>
    <w:p w14:paraId="5C859D0D"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2029-2030 - $925,025.97</w:t>
      </w:r>
    </w:p>
    <w:p w14:paraId="0CE6EE11"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 </w:t>
      </w:r>
    </w:p>
    <w:p w14:paraId="1247BCB3"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color w:val="333333"/>
          <w:kern w:val="0"/>
          <w:sz w:val="20"/>
          <w:szCs w:val="20"/>
          <w14:ligatures w14:val="none"/>
        </w:rPr>
        <w:t>(7) The hub operator shall state in its license application its election to pay tax calculated pursuant to section (3), subsections (a) or (b), for gross mutuel wagering on merged pools, and shall also designate a state that is subject to the exception in section (3), subsection (b), if that formula is elected. The hub operator statement shall be made in its license application or at such other time as is specified by the Commission. Neither the payment formula nor the state subject to the exception may be changed during a license period without the prior approval of the Commission.</w:t>
      </w:r>
    </w:p>
    <w:p w14:paraId="651ECD2E" w14:textId="77777777" w:rsidR="00343F26" w:rsidRPr="00343F26" w:rsidRDefault="00343F26" w:rsidP="00343F26">
      <w:pPr>
        <w:shd w:val="clear" w:color="auto" w:fill="F5F5F5"/>
        <w:spacing w:before="100" w:beforeAutospacing="1" w:after="100" w:afterAutospacing="1" w:line="240" w:lineRule="auto"/>
        <w:rPr>
          <w:rFonts w:ascii="Lato" w:eastAsia="Times New Roman" w:hAnsi="Lato" w:cs="Times New Roman"/>
          <w:color w:val="333333"/>
          <w:kern w:val="0"/>
          <w:sz w:val="20"/>
          <w:szCs w:val="20"/>
          <w14:ligatures w14:val="none"/>
        </w:rPr>
      </w:pPr>
      <w:r w:rsidRPr="00343F26">
        <w:rPr>
          <w:rFonts w:ascii="Lato" w:eastAsia="Times New Roman" w:hAnsi="Lato" w:cs="Times New Roman"/>
          <w:b/>
          <w:bCs/>
          <w:color w:val="333333"/>
          <w:kern w:val="0"/>
          <w:sz w:val="20"/>
          <w:szCs w:val="20"/>
          <w14:ligatures w14:val="none"/>
        </w:rPr>
        <w:t>Statutory/Other Authority:</w:t>
      </w:r>
      <w:r w:rsidRPr="00343F26">
        <w:rPr>
          <w:rFonts w:ascii="Lato" w:eastAsia="Times New Roman" w:hAnsi="Lato" w:cs="Times New Roman"/>
          <w:color w:val="333333"/>
          <w:kern w:val="0"/>
          <w:sz w:val="20"/>
          <w:szCs w:val="20"/>
          <w14:ligatures w14:val="none"/>
        </w:rPr>
        <w:t> ORS 462.270(3) &amp; 462.725</w:t>
      </w:r>
      <w:r w:rsidRPr="00343F26">
        <w:rPr>
          <w:rFonts w:ascii="Lato" w:eastAsia="Times New Roman" w:hAnsi="Lato" w:cs="Times New Roman"/>
          <w:color w:val="333333"/>
          <w:kern w:val="0"/>
          <w:sz w:val="20"/>
          <w:szCs w:val="20"/>
          <w14:ligatures w14:val="none"/>
        </w:rPr>
        <w:br/>
      </w:r>
      <w:r w:rsidRPr="00343F26">
        <w:rPr>
          <w:rFonts w:ascii="Lato" w:eastAsia="Times New Roman" w:hAnsi="Lato" w:cs="Times New Roman"/>
          <w:b/>
          <w:bCs/>
          <w:color w:val="333333"/>
          <w:kern w:val="0"/>
          <w:sz w:val="20"/>
          <w:szCs w:val="20"/>
          <w14:ligatures w14:val="none"/>
        </w:rPr>
        <w:t>Statutes/Other Implemented:</w:t>
      </w:r>
      <w:r w:rsidRPr="00343F26">
        <w:rPr>
          <w:rFonts w:ascii="Lato" w:eastAsia="Times New Roman" w:hAnsi="Lato" w:cs="Times New Roman"/>
          <w:color w:val="333333"/>
          <w:kern w:val="0"/>
          <w:sz w:val="20"/>
          <w:szCs w:val="20"/>
          <w14:ligatures w14:val="none"/>
        </w:rPr>
        <w:t> ORS 462.725</w:t>
      </w:r>
      <w:r w:rsidRPr="00343F26">
        <w:rPr>
          <w:rFonts w:ascii="Lato" w:eastAsia="Times New Roman" w:hAnsi="Lato" w:cs="Times New Roman"/>
          <w:color w:val="333333"/>
          <w:kern w:val="0"/>
          <w:sz w:val="20"/>
          <w:szCs w:val="20"/>
          <w14:ligatures w14:val="none"/>
        </w:rPr>
        <w:br/>
      </w:r>
      <w:r w:rsidRPr="00343F26">
        <w:rPr>
          <w:rFonts w:ascii="Lato" w:eastAsia="Times New Roman" w:hAnsi="Lato" w:cs="Times New Roman"/>
          <w:b/>
          <w:bCs/>
          <w:color w:val="333333"/>
          <w:kern w:val="0"/>
          <w:sz w:val="20"/>
          <w:szCs w:val="20"/>
          <w14:ligatures w14:val="none"/>
        </w:rPr>
        <w:t>History:</w:t>
      </w:r>
      <w:r w:rsidRPr="00343F26">
        <w:rPr>
          <w:rFonts w:ascii="Lato" w:eastAsia="Times New Roman" w:hAnsi="Lato" w:cs="Times New Roman"/>
          <w:color w:val="333333"/>
          <w:kern w:val="0"/>
          <w:sz w:val="20"/>
          <w:szCs w:val="20"/>
          <w14:ligatures w14:val="none"/>
        </w:rPr>
        <w:br/>
      </w:r>
      <w:hyperlink r:id="rId4" w:history="1">
        <w:r w:rsidRPr="00343F26">
          <w:rPr>
            <w:rFonts w:ascii="Lato" w:eastAsia="Times New Roman" w:hAnsi="Lato" w:cs="Times New Roman"/>
            <w:color w:val="005592"/>
            <w:kern w:val="0"/>
            <w:sz w:val="20"/>
            <w:szCs w:val="20"/>
            <w:u w:val="single"/>
            <w14:ligatures w14:val="none"/>
          </w:rPr>
          <w:t>RC 2-2023, amend filed 03/02/2023, effective 03/02/2023</w:t>
        </w:r>
      </w:hyperlink>
      <w:r w:rsidRPr="00343F26">
        <w:rPr>
          <w:rFonts w:ascii="Lato" w:eastAsia="Times New Roman" w:hAnsi="Lato" w:cs="Times New Roman"/>
          <w:color w:val="333333"/>
          <w:kern w:val="0"/>
          <w:sz w:val="20"/>
          <w:szCs w:val="20"/>
          <w14:ligatures w14:val="none"/>
        </w:rPr>
        <w:br/>
      </w:r>
      <w:hyperlink r:id="rId5" w:history="1">
        <w:r w:rsidRPr="00343F26">
          <w:rPr>
            <w:rFonts w:ascii="Lato" w:eastAsia="Times New Roman" w:hAnsi="Lato" w:cs="Times New Roman"/>
            <w:color w:val="005592"/>
            <w:kern w:val="0"/>
            <w:sz w:val="20"/>
            <w:szCs w:val="20"/>
            <w:u w:val="single"/>
            <w14:ligatures w14:val="none"/>
          </w:rPr>
          <w:t>RC 2-2019, amend filed 10/10/2019, effective 10/10/2019</w:t>
        </w:r>
      </w:hyperlink>
      <w:r w:rsidRPr="00343F26">
        <w:rPr>
          <w:rFonts w:ascii="Lato" w:eastAsia="Times New Roman" w:hAnsi="Lato" w:cs="Times New Roman"/>
          <w:color w:val="333333"/>
          <w:kern w:val="0"/>
          <w:sz w:val="20"/>
          <w:szCs w:val="20"/>
          <w14:ligatures w14:val="none"/>
        </w:rPr>
        <w:br/>
      </w:r>
      <w:hyperlink r:id="rId6" w:history="1">
        <w:r w:rsidRPr="00343F26">
          <w:rPr>
            <w:rFonts w:ascii="Lato" w:eastAsia="Times New Roman" w:hAnsi="Lato" w:cs="Times New Roman"/>
            <w:color w:val="005592"/>
            <w:kern w:val="0"/>
            <w:sz w:val="20"/>
            <w:szCs w:val="20"/>
            <w:u w:val="single"/>
            <w14:ligatures w14:val="none"/>
          </w:rPr>
          <w:t>RC 8-2018, amend filed 12/10/2018, effective 12/10/2018</w:t>
        </w:r>
      </w:hyperlink>
      <w:r w:rsidRPr="00343F26">
        <w:rPr>
          <w:rFonts w:ascii="Lato" w:eastAsia="Times New Roman" w:hAnsi="Lato" w:cs="Times New Roman"/>
          <w:color w:val="333333"/>
          <w:kern w:val="0"/>
          <w:sz w:val="20"/>
          <w:szCs w:val="20"/>
          <w14:ligatures w14:val="none"/>
        </w:rPr>
        <w:br/>
        <w:t xml:space="preserve">RC 2-2016, f. &amp;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5-9-16</w:t>
      </w:r>
      <w:r w:rsidRPr="00343F26">
        <w:rPr>
          <w:rFonts w:ascii="Lato" w:eastAsia="Times New Roman" w:hAnsi="Lato" w:cs="Times New Roman"/>
          <w:color w:val="333333"/>
          <w:kern w:val="0"/>
          <w:sz w:val="20"/>
          <w:szCs w:val="20"/>
          <w14:ligatures w14:val="none"/>
        </w:rPr>
        <w:br/>
        <w:t xml:space="preserve">RC 3-2012, f. 10-9-12,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10-15-12</w:t>
      </w:r>
      <w:r w:rsidRPr="00343F26">
        <w:rPr>
          <w:rFonts w:ascii="Lato" w:eastAsia="Times New Roman" w:hAnsi="Lato" w:cs="Times New Roman"/>
          <w:color w:val="333333"/>
          <w:kern w:val="0"/>
          <w:sz w:val="20"/>
          <w:szCs w:val="20"/>
          <w14:ligatures w14:val="none"/>
        </w:rPr>
        <w:br/>
        <w:t xml:space="preserve">RC 2-2012, f. 5-29-12,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6-1-12</w:t>
      </w:r>
      <w:r w:rsidRPr="00343F26">
        <w:rPr>
          <w:rFonts w:ascii="Lato" w:eastAsia="Times New Roman" w:hAnsi="Lato" w:cs="Times New Roman"/>
          <w:color w:val="333333"/>
          <w:kern w:val="0"/>
          <w:sz w:val="20"/>
          <w:szCs w:val="20"/>
          <w14:ligatures w14:val="none"/>
        </w:rPr>
        <w:br/>
        <w:t xml:space="preserve">RC 1-2005, f. 5-23-05,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7-1-05</w:t>
      </w:r>
      <w:r w:rsidRPr="00343F26">
        <w:rPr>
          <w:rFonts w:ascii="Lato" w:eastAsia="Times New Roman" w:hAnsi="Lato" w:cs="Times New Roman"/>
          <w:color w:val="333333"/>
          <w:kern w:val="0"/>
          <w:sz w:val="20"/>
          <w:szCs w:val="20"/>
          <w14:ligatures w14:val="none"/>
        </w:rPr>
        <w:br/>
        <w:t xml:space="preserve">RC 3-2004, f. 6-23-04,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7-1-04</w:t>
      </w:r>
      <w:r w:rsidRPr="00343F26">
        <w:rPr>
          <w:rFonts w:ascii="Lato" w:eastAsia="Times New Roman" w:hAnsi="Lato" w:cs="Times New Roman"/>
          <w:color w:val="333333"/>
          <w:kern w:val="0"/>
          <w:sz w:val="20"/>
          <w:szCs w:val="20"/>
          <w14:ligatures w14:val="none"/>
        </w:rPr>
        <w:br/>
        <w:t xml:space="preserve">RC 4-2003, f. 6-20-03,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7-1-03</w:t>
      </w:r>
      <w:r w:rsidRPr="00343F26">
        <w:rPr>
          <w:rFonts w:ascii="Lato" w:eastAsia="Times New Roman" w:hAnsi="Lato" w:cs="Times New Roman"/>
          <w:color w:val="333333"/>
          <w:kern w:val="0"/>
          <w:sz w:val="20"/>
          <w:szCs w:val="20"/>
          <w14:ligatures w14:val="none"/>
        </w:rPr>
        <w:br/>
        <w:t xml:space="preserve">RC 3-2003, f. 6-13-03,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7-1-03</w:t>
      </w:r>
      <w:r w:rsidRPr="00343F26">
        <w:rPr>
          <w:rFonts w:ascii="Lato" w:eastAsia="Times New Roman" w:hAnsi="Lato" w:cs="Times New Roman"/>
          <w:color w:val="333333"/>
          <w:kern w:val="0"/>
          <w:sz w:val="20"/>
          <w:szCs w:val="20"/>
          <w14:ligatures w14:val="none"/>
        </w:rPr>
        <w:br/>
        <w:t xml:space="preserve">RC 4-2002, f. &amp;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6-28-02</w:t>
      </w:r>
      <w:r w:rsidRPr="00343F26">
        <w:rPr>
          <w:rFonts w:ascii="Lato" w:eastAsia="Times New Roman" w:hAnsi="Lato" w:cs="Times New Roman"/>
          <w:color w:val="333333"/>
          <w:kern w:val="0"/>
          <w:sz w:val="20"/>
          <w:szCs w:val="20"/>
          <w14:ligatures w14:val="none"/>
        </w:rPr>
        <w:br/>
        <w:t xml:space="preserve">RC 1-2001, f. &amp;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3-19-01</w:t>
      </w:r>
      <w:r w:rsidRPr="00343F26">
        <w:rPr>
          <w:rFonts w:ascii="Lato" w:eastAsia="Times New Roman" w:hAnsi="Lato" w:cs="Times New Roman"/>
          <w:color w:val="333333"/>
          <w:kern w:val="0"/>
          <w:sz w:val="20"/>
          <w:szCs w:val="20"/>
          <w14:ligatures w14:val="none"/>
        </w:rPr>
        <w:br/>
        <w:t xml:space="preserve">RC 3-2000, f. 3-27-00, cert. </w:t>
      </w:r>
      <w:proofErr w:type="spellStart"/>
      <w:r w:rsidRPr="00343F26">
        <w:rPr>
          <w:rFonts w:ascii="Lato" w:eastAsia="Times New Roman" w:hAnsi="Lato" w:cs="Times New Roman"/>
          <w:color w:val="333333"/>
          <w:kern w:val="0"/>
          <w:sz w:val="20"/>
          <w:szCs w:val="20"/>
          <w14:ligatures w14:val="none"/>
        </w:rPr>
        <w:t>ef</w:t>
      </w:r>
      <w:proofErr w:type="spellEnd"/>
      <w:r w:rsidRPr="00343F26">
        <w:rPr>
          <w:rFonts w:ascii="Lato" w:eastAsia="Times New Roman" w:hAnsi="Lato" w:cs="Times New Roman"/>
          <w:color w:val="333333"/>
          <w:kern w:val="0"/>
          <w:sz w:val="20"/>
          <w:szCs w:val="20"/>
          <w14:ligatures w14:val="none"/>
        </w:rPr>
        <w:t>. 5-1-00</w:t>
      </w:r>
    </w:p>
    <w:p w14:paraId="47DA914E" w14:textId="77777777" w:rsidR="00F949F7" w:rsidRDefault="00F949F7"/>
    <w:sectPr w:rsidR="00F94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F26"/>
    <w:rsid w:val="002E718A"/>
    <w:rsid w:val="00334EEF"/>
    <w:rsid w:val="00335DCF"/>
    <w:rsid w:val="00343F26"/>
    <w:rsid w:val="00383FD9"/>
    <w:rsid w:val="00B27D86"/>
    <w:rsid w:val="00F9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7129"/>
  <w15:chartTrackingRefBased/>
  <w15:docId w15:val="{487043DC-E818-4CC5-BCD1-1C0F3EE7C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27332">
      <w:bodyDiv w:val="1"/>
      <w:marLeft w:val="0"/>
      <w:marRight w:val="0"/>
      <w:marTop w:val="0"/>
      <w:marBottom w:val="0"/>
      <w:divBdr>
        <w:top w:val="none" w:sz="0" w:space="0" w:color="auto"/>
        <w:left w:val="none" w:sz="0" w:space="0" w:color="auto"/>
        <w:bottom w:val="none" w:sz="0" w:space="0" w:color="auto"/>
        <w:right w:val="none" w:sz="0" w:space="0" w:color="auto"/>
      </w:divBdr>
      <w:divsChild>
        <w:div w:id="1032805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cure.sos.state.or.us/oard/viewReceiptTRIM.action?ptId=6846329" TargetMode="External"/><Relationship Id="rId5" Type="http://schemas.openxmlformats.org/officeDocument/2006/relationships/hyperlink" Target="https://secure.sos.state.or.us/oard/viewReceiptPDF.action?filingRsn=42485" TargetMode="External"/><Relationship Id="rId4" Type="http://schemas.openxmlformats.org/officeDocument/2006/relationships/hyperlink" Target="https://secure.sos.state.or.us/oard/viewReceiptTRIM.action?ptId=93174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579</Words>
  <Characters>4050</Characters>
  <Application>Microsoft Office Word</Application>
  <DocSecurity>0</DocSecurity>
  <Lines>96</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WINN Connie * ORC</cp:lastModifiedBy>
  <cp:revision>4</cp:revision>
  <dcterms:created xsi:type="dcterms:W3CDTF">2023-09-08T20:35:00Z</dcterms:created>
  <dcterms:modified xsi:type="dcterms:W3CDTF">2023-09-08T20:48:00Z</dcterms:modified>
</cp:coreProperties>
</file>